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jpg" ContentType="image/jpg"/>
  <Default Extension="emf" ContentType="image/emf"/>
  <Default Extension="wmf" ContentType="image/wmf"/>
  <Default Extension="ico" ContentType="image/ico"/>
  <Default Extension="cur" ContentType="image/cur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header1.xml" ContentType="application/vnd.openxmlformats-officedocument.wordprocessingml.header+xml"/>
  <Override PartName="/word/footer0.xml" ContentType="application/vnd.openxmlformats-officedocument.wordprocessingml.foot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 w:line="240" w:lineRule="auto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Número de hipótesis gravitatorias: 3</w:t>
      </w:r>
    </w:p>
    <w:p>
      <w:pPr>
        <w:spacing w:after="0" w:line="240" w:lineRule="auto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Número de hipótesis con análisis dinámico: 2</w:t>
      </w:r>
    </w:p>
    <w:p>
      <w:pPr>
        <w:spacing w:after="0" w:line="240" w:lineRule="auto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Número de modos analizados en segundo orden: 2</w:t>
      </w:r>
    </w:p>
    <w:p>
      <w:pPr>
        <w:spacing w:after="0" w:line="240" w:lineRule="auto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El momento de vuelco producido por las acciones horizontales en las distintas hipótesis es: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t·m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Modo 1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195.876</w:t>
            </w:r>
          </w:p>
        </w:tc>
      </w:tr>
      <w:tr>
        <w:trPr>
          <w:cantSplit/>
        </w:trPr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Modo 2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225.917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El momento por efecto P-delta producido por las distintas hipótesis de carga gravitatoria bajo la actuación simultánea de las hipótesis de acciones horizontales es: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Peso propio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t·m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Cargas permanentes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t·m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Sobrecarga de uso</w:t>
            </w:r>
          </w:p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t·m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Modo 1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0.761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0.243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0.188</w:t>
            </w:r>
          </w:p>
        </w:tc>
      </w:tr>
      <w:tr>
        <w:trPr>
          <w:cantSplit/>
        </w:trPr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Modo 2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0.537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0.158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0.151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Las acciones horizontales se ven incrementadas por la actuación simultánea de las acciones gravitatorias según los siguientes factores de amplificación (FA):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tblHeader/>
        </w:trPr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Peso propio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Cargas permanentes</w:t>
            </w:r>
          </w:p>
        </w:tc>
        <w:tc>
          <w:tcPr>
            <w:tcBorders>
              <w:top w:val="single" w:sz="0" w:space="0" w:color="000000"/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Sobrecarga de uso</w:t>
            </w:r>
          </w:p>
        </w:tc>
      </w:tr>
      <w:tr>
        <w:trPr>
          <w:cantSplit/>
        </w:trPr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Modo 1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0.004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0.001</w:t>
            </w:r>
          </w:p>
        </w:tc>
        <w:tc>
          <w:tcPr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0.001</w:t>
            </w:r>
          </w:p>
        </w:tc>
      </w:tr>
      <w:tr>
        <w:trPr>
          <w:cantSplit/>
        </w:trPr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Modo 2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0.002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0.001</w:t>
            </w:r>
          </w:p>
        </w:tc>
        <w:tc>
          <w:tcPr>
            <w:tcBorders>
              <w:bottom w:val="single" w:sz="0" w:space="0" w:color="000000"/>
              <w:left w:val="single" w:sz="0" w:space="0" w:color="000000"/>
              <w:right w:val="single" w:sz="0" w:space="0" w:color="000000"/>
            </w:tcBorders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0.001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  <w:rPr>
          <w:rFonts w:ascii="Verdana" w:hAnsi="Verdana" w:cs="Verdana"/>
          <w:sz w:val="18"/>
        </w:rPr>
        <w:keepNext/>
      </w:pPr>
      <w:r>
        <w:rPr>
          <w:rFonts w:ascii="Verdana" w:hAnsi="Verdana" w:cs="Verdana"/>
          <w:sz w:val="18"/>
        </w:rPr>
        <w:t xml:space="preserve">Cuando en una combinación actúe una acción horizontal con un coeficiente de mayoración Fv y varias acciones gravitatorias con coeficientes de mayoración Fg1...Fgn, el coeficiente de mayoración de la acción horizontal se tomará como: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</w:tblPr>
      <w:tr>
        <w:trPr>
          <w:cantSplit/>
        </w:trPr>
        <w:tc>
          <w:tcPr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noWrap/>
            <w:vAlign w:val="top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</w:t>
            </w:r>
          </w:p>
        </w:tc>
      </w:tr>
      <w:tr>
        <w:trPr>
          <w:cantSplit/>
        </w:trPr>
        <w:tc>
          <w:tcPr>
            <w:noWrap/>
            <w:vAlign w:val="top"/>
          </w:tcPr>
          <w:p>
            <w:pPr>
              <w:spacing w:after="0" w:line="240" w:lineRule="auto"/>
              <w:jc w:val="right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Fv (estabilidad global) = Fv·</w:t>
            </w:r>
          </w:p>
        </w:tc>
        <w:tc>
          <w:tcPr>
            <w:noWrap/>
            <w:vAlign w:val="top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—————————————————————————</w:t>
            </w:r>
          </w:p>
        </w:tc>
      </w:tr>
      <w:tr>
        <w:trPr>
          <w:cantSplit/>
        </w:trPr>
        <w:tc>
          <w:tcPr>
            <w:noWrap/>
            <w:vAlign w:val="top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noWrap/>
            <w:vAlign w:val="top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1-(Fg1·FA1+...+Fgn·FAn)</w:t>
            </w:r>
          </w:p>
        </w:tc>
      </w:tr>
    </w:tbl>
    <w:p>
      <w:pPr>
        <w:spacing w:after="0" w:line="2" w:lineRule="auto"/>
      </w:pPr>
    </w:p>
    <w:p>
      <w:pPr>
        <w:spacing w:after="0" w:line="240" w:lineRule="auto"/>
        <w:rPr>
          <w:rFonts w:ascii="Verdana" w:hAnsi="Verdana" w:cs="Verdana"/>
          <w:sz w:val="18"/>
        </w:rPr>
      </w:pPr>
      <w:r>
        <w:rPr>
          <w:rFonts w:ascii="Verdana" w:hAnsi="Verdana" w:cs="Verdana"/>
          <w:sz w:val="18"/>
        </w:rPr>
        <w:t xml:space="preserve">En el caso de sismo se realiza una combinación cuadrática completa, con lo que no tiene sentido la relación entre el coeficiente de mayoración amplificado y el coeficiente de mayoración sin amplificar.</w:t>
      </w:r>
    </w:p>
    <w:p>
      <w:pPr>
        <w:spacing w:after="0" w:line="2" w:lineRule="auto"/>
        <w:sectPr>
          <w:headerReference w:type="even" r:id="header1"/>
          <w:headerReference w:type="default" r:id="header1"/>
          <w:footerReference w:type="even" r:id="footer1"/>
          <w:footerReference w:type="default" r:id="footer1"/>
          <w:pgSz w:w="12246" w:h="15817" w:orient="portrait"/>
          <w:pgMar w:top="907" w:left="907" w:bottom="907" w:right="907" w:header="907" w:footer="907" w:gutter="283"/>
          <w:cols w:space="708"/>
          <w:docGrid w:linePitch="360"/>
        </w:sectPr>
      </w:pPr>
    </w:p>
    <w:sectPr>
      <w:pgSz w:w="12246" w:h="15817" w:orient="portrait"/>
      <w:pgMar w:top="907" w:left="907" w:bottom="907" w:right="907" w:header="907" w:footer="907" w:gutter="28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after="10" w:line="100" w:lineRule="auto"/>
    </w:pPr>
    <w:r>
      <w:pict>
        <v:rect style="height:0.28pt" o:hrpct="1000" o:hralign="left" o:hrstd="t" o:hrnoshade="t" o:hr="t" fillcolor="#000000" stroked="f"/>
      </w:pict>
    </w:r>
  </w:p>
  <w:p>
    <w:pPr>
      <w:spacing w:after="0" w:line="240" w:lineRule="auto"/>
      <w:jc w:val="right"/>
      <w:rPr>
        <w:rFonts w:ascii="Verdana" w:hAnsi="Verdana" w:cs="Verdana"/>
        <w:sz w:val="18"/>
      </w:rPr>
    </w:pPr>
    <w:r>
      <w:rPr>
        <w:rFonts w:ascii="Verdana" w:hAnsi="Verdana" w:cs="Verdana"/>
        <w:sz w:val="18"/>
      </w:rPr>
      <w:t xml:space="preserve">Página </w:t>
    </w:r>
    <w:fldSimple w:instr=" PAGE \* MERGEFORMAT ">
      <w:r>
        <w:rPr>
          <w:rFonts w:ascii="Verdana" w:hAnsi="Verdana" w:cs="Verdana"/>
          <w:sz w:val="18"/>
        </w:rPr>
        <w:t>___</w:t>
      </w:r>
    </w:fldSimple>
  </w:p>
</w:ftr>
</file>

<file path=word/header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after="0" w:line="240" w:lineRule="auto"/>
      <w:jc w:val="center"/>
      <w:rPr>
        <w:b/>
        <w:rFonts w:ascii="Verdana" w:hAnsi="Verdana" w:cs="Verdana"/>
        <w:sz w:val="26"/>
      </w:rPr>
    </w:pPr>
    <w:r>
      <w:rPr>
        <w:b/>
        <w:rFonts w:ascii="Verdana" w:hAnsi="Verdana" w:cs="Verdana"/>
        <w:sz w:val="26"/>
      </w:rPr>
      <w:t xml:space="preserve">ANÁLISIS DE LA ESTABILIDAD GLOBAL</w:t>
    </w:r>
  </w:p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</w:tblPr>
    <w:tr>
      <w:trPr>
        <w:cantSplit/>
      </w:trPr>
      <w:tc>
        <w:tcPr>
          <w:noWrap/>
          <w:vAlign w:val="top"/>
        </w:tcPr>
        <w:p>
          <w:pPr>
            <w:spacing w:after="0" w:line="240" w:lineRule="auto"/>
            <w:jc w:val="right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Fecha:24/01/16</w:t>
          </w:r>
        </w:p>
      </w:tc>
    </w:tr>
  </w:tbl>
  <w:p>
    <w:pPr>
      <w:spacing w:after="0" w:line="2" w:lineRule="auto"/>
    </w:pPr>
  </w:p>
  <w:p>
    <w:pPr>
      <w:spacing w:after="10" w:line="100" w:lineRule="auto"/>
    </w:pPr>
    <w:r>
      <w:pict>
        <v:rect style="height:0.28pt" o:hrpct="1000" o:hralign="left" o:hrstd="t" o:hrnoshade="t" o:hr="t" fillcolor="#000000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venAndOddHeaders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Normal">
    <w:name w:val="Normal"/>
    <w:qFormat/>
    <w:rsid w:val="00174D7E"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header0" Type="http://schemas.openxmlformats.org/officeDocument/2006/relationships/header" Target="header0.xml"/><Relationship Id="header1" Type="http://schemas.openxmlformats.org/officeDocument/2006/relationships/header" Target="header1.xml"/><Relationship Id="footer0" Type="http://schemas.openxmlformats.org/officeDocument/2006/relationships/footer" Target="footer0.xml"/><Relationship Id="footer1" Type="http://schemas.openxmlformats.org/officeDocument/2006/relationships/footer" Target="footer1.xml"/></Relationships>
</file>

<file path=word/_rels/footer0.xml.rels><?xml version="1.0" encoding="utf-8" standalone="yes"?>
<Relationships xmlns="http://schemas.openxmlformats.org/package/2006/relationships"></Relationships>
</file>

<file path=word/_rels/footer1.xml.rels><?xml version="1.0" encoding="utf-8" standalone="yes"?>
<Relationships xmlns="http://schemas.openxmlformats.org/package/2006/relationships"></Relationships>
</file>

<file path=word/_rels/header0.xml.rels><?xml version="1.0" encoding="utf-8" standalone="yes"?>
<Relationships xmlns="http://schemas.openxmlformats.org/package/2006/relationships"></Relationships>
</file>

<file path=word/_rels/header1.xml.rels><?xml version="1.0" encoding="utf-8" standalone="yes"?>
<Relationships xmlns="http://schemas.openxmlformats.org/package/2006/relationships"></Relationships>
</file>